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714"/>
        <w:rPr>
          <w:rFonts w:ascii="Times New Roman"/>
          <w:sz w:val="20"/>
        </w:rPr>
      </w:pPr>
      <w:r>
        <w:rPr>
          <w:rFonts w:ascii="Times New Roman"/>
          <w:sz w:val="20"/>
        </w:rPr>
        <w:drawing>
          <wp:inline distT="0" distB="0" distL="0" distR="0">
            <wp:extent cx="2877654" cy="93040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77654" cy="930401"/>
                    </a:xfrm>
                    <a:prstGeom prst="rect">
                      <a:avLst/>
                    </a:prstGeom>
                  </pic:spPr>
                </pic:pic>
              </a:graphicData>
            </a:graphic>
          </wp:inline>
        </w:drawing>
      </w:r>
      <w:r>
        <w:rPr>
          <w:rFonts w:ascii="Times New Roman"/>
          <w:sz w:val="20"/>
        </w:rPr>
      </w:r>
    </w:p>
    <w:p>
      <w:pPr>
        <w:pStyle w:val="BodyText"/>
        <w:spacing w:before="3"/>
        <w:rPr>
          <w:rFonts w:ascii="Times New Roman"/>
          <w:sz w:val="16"/>
        </w:rPr>
      </w:pPr>
      <w:r>
        <w:rPr/>
        <w:pict>
          <v:shapetype id="_x0000_t202" o:spt="202" coordsize="21600,21600" path="m,l,21600r21600,l21600,xe">
            <v:stroke joinstyle="miter"/>
            <v:path gradientshapeok="t" o:connecttype="rect"/>
          </v:shapetype>
          <v:shape style="position:absolute;margin-left:65.531998pt;margin-top:12.4pt;width:481.05pt;height:20.05pt;mso-position-horizontal-relative:page;mso-position-vertical-relative:paragraph;z-index:-251658240;mso-wrap-distance-left:0;mso-wrap-distance-right:0" type="#_x0000_t202" filled="false" stroked="true" strokeweight="2.16pt" strokecolor="#000000">
            <v:textbox inset="0,0,0,0">
              <w:txbxContent>
                <w:p>
                  <w:pPr>
                    <w:tabs>
                      <w:tab w:pos="7297" w:val="left" w:leader="none"/>
                    </w:tabs>
                    <w:spacing w:before="21"/>
                    <w:ind w:left="108" w:right="0" w:firstLine="0"/>
                    <w:jc w:val="left"/>
                    <w:rPr>
                      <w:sz w:val="24"/>
                    </w:rPr>
                  </w:pPr>
                  <w:r>
                    <w:rPr>
                      <w:b/>
                      <w:sz w:val="24"/>
                    </w:rPr>
                    <w:t>COMPANY CAR AND FRINGE BENEFITS</w:t>
                  </w:r>
                  <w:r>
                    <w:rPr>
                      <w:b/>
                      <w:spacing w:val="-13"/>
                      <w:sz w:val="24"/>
                    </w:rPr>
                    <w:t> </w:t>
                  </w:r>
                  <w:r>
                    <w:rPr>
                      <w:b/>
                      <w:sz w:val="24"/>
                    </w:rPr>
                    <w:t>TAX</w:t>
                  </w:r>
                  <w:r>
                    <w:rPr>
                      <w:b/>
                      <w:spacing w:val="-4"/>
                      <w:sz w:val="24"/>
                    </w:rPr>
                    <w:t> </w:t>
                  </w:r>
                  <w:r>
                    <w:rPr>
                      <w:b/>
                      <w:sz w:val="24"/>
                    </w:rPr>
                    <w:t>POLICY</w:t>
                    <w:tab/>
                  </w:r>
                  <w:r>
                    <w:rPr>
                      <w:sz w:val="24"/>
                    </w:rPr>
                    <w:t>Version 1 (June,</w:t>
                  </w:r>
                  <w:r>
                    <w:rPr>
                      <w:spacing w:val="-3"/>
                      <w:sz w:val="24"/>
                    </w:rPr>
                    <w:t> </w:t>
                  </w:r>
                  <w:r>
                    <w:rPr>
                      <w:sz w:val="24"/>
                    </w:rPr>
                    <w:t>2016)</w:t>
                  </w:r>
                </w:p>
              </w:txbxContent>
            </v:textbox>
            <v:stroke dashstyle="solid"/>
            <w10:wrap type="topAndBottom"/>
          </v:shape>
        </w:pict>
      </w:r>
    </w:p>
    <w:p>
      <w:pPr>
        <w:pStyle w:val="BodyText"/>
        <w:rPr>
          <w:rFonts w:ascii="Times New Roman"/>
          <w:sz w:val="20"/>
        </w:rPr>
      </w:pPr>
    </w:p>
    <w:p>
      <w:pPr>
        <w:pStyle w:val="BodyText"/>
        <w:spacing w:before="2"/>
        <w:rPr>
          <w:rFonts w:ascii="Times New Roman"/>
          <w:sz w:val="27"/>
        </w:rPr>
      </w:pPr>
      <w:r>
        <w:rPr/>
        <w:pict>
          <v:shape style="position:absolute;margin-left:66.143997pt;margin-top:18.110971pt;width:479.85pt;height:17.4pt;mso-position-horizontal-relative:page;mso-position-vertical-relative:paragraph;z-index:-251657216;mso-wrap-distance-left:0;mso-wrap-distance-right:0" type="#_x0000_t202" filled="false" stroked="true" strokeweight=".95996pt" strokecolor="#000000">
            <v:textbox inset="0,0,0,0">
              <w:txbxContent>
                <w:p>
                  <w:pPr>
                    <w:spacing w:before="18"/>
                    <w:ind w:left="108" w:right="0" w:firstLine="0"/>
                    <w:jc w:val="left"/>
                    <w:rPr>
                      <w:b/>
                      <w:sz w:val="22"/>
                    </w:rPr>
                  </w:pPr>
                  <w:r>
                    <w:rPr>
                      <w:b/>
                      <w:sz w:val="22"/>
                    </w:rPr>
                    <w:t>AIM:</w:t>
                  </w:r>
                </w:p>
              </w:txbxContent>
            </v:textbox>
            <v:stroke dashstyle="solid"/>
            <w10:wrap type="topAndBottom"/>
          </v:shape>
        </w:pict>
      </w:r>
    </w:p>
    <w:p>
      <w:pPr>
        <w:pStyle w:val="BodyText"/>
        <w:spacing w:before="5"/>
        <w:rPr>
          <w:rFonts w:ascii="Times New Roman"/>
          <w:sz w:val="6"/>
        </w:rPr>
      </w:pPr>
    </w:p>
    <w:p>
      <w:pPr>
        <w:pStyle w:val="BodyText"/>
        <w:spacing w:line="259" w:lineRule="auto" w:before="56"/>
        <w:ind w:left="240" w:right="235"/>
        <w:jc w:val="both"/>
      </w:pPr>
      <w:r>
        <w:rPr/>
        <w:t>This policy is to address the personal usage of the company car and to set out responsibility of payment for FBT at the end of each FBT year. FBT is a tax employers pay on certain benefits they provide to their employees; such benefits include the use of a company car.</w:t>
      </w:r>
    </w:p>
    <w:p>
      <w:pPr>
        <w:pStyle w:val="BodyText"/>
        <w:rPr>
          <w:sz w:val="20"/>
        </w:rPr>
      </w:pPr>
    </w:p>
    <w:p>
      <w:pPr>
        <w:pStyle w:val="BodyText"/>
        <w:spacing w:before="11"/>
        <w:rPr>
          <w:sz w:val="26"/>
        </w:rPr>
      </w:pPr>
      <w:r>
        <w:rPr/>
        <w:pict>
          <v:shape style="position:absolute;margin-left:66.143997pt;margin-top:18.907402pt;width:479.85pt;height:17.4pt;mso-position-horizontal-relative:page;mso-position-vertical-relative:paragraph;z-index:-251656192;mso-wrap-distance-left:0;mso-wrap-distance-right:0" type="#_x0000_t202" filled="false" stroked="true" strokeweight=".95996pt" strokecolor="#000000">
            <v:textbox inset="0,0,0,0">
              <w:txbxContent>
                <w:p>
                  <w:pPr>
                    <w:spacing w:before="18"/>
                    <w:ind w:left="108" w:right="0" w:firstLine="0"/>
                    <w:jc w:val="left"/>
                    <w:rPr>
                      <w:b/>
                      <w:sz w:val="22"/>
                    </w:rPr>
                  </w:pPr>
                  <w:r>
                    <w:rPr>
                      <w:b/>
                      <w:sz w:val="22"/>
                    </w:rPr>
                    <w:t>IMPLEMENTATION:</w:t>
                  </w:r>
                </w:p>
              </w:txbxContent>
            </v:textbox>
            <v:stroke dashstyle="solid"/>
            <w10:wrap type="topAndBottom"/>
          </v:shape>
        </w:pict>
      </w:r>
    </w:p>
    <w:p>
      <w:pPr>
        <w:pStyle w:val="BodyText"/>
        <w:spacing w:before="1"/>
        <w:rPr>
          <w:sz w:val="6"/>
        </w:rPr>
      </w:pPr>
    </w:p>
    <w:p>
      <w:pPr>
        <w:pStyle w:val="BodyText"/>
        <w:spacing w:line="259" w:lineRule="auto" w:before="56"/>
        <w:ind w:left="240" w:right="233"/>
        <w:jc w:val="both"/>
      </w:pPr>
      <w:r>
        <w:rPr/>
        <w:t>Use</w:t>
      </w:r>
      <w:r>
        <w:rPr>
          <w:spacing w:val="-11"/>
        </w:rPr>
        <w:t> </w:t>
      </w:r>
      <w:r>
        <w:rPr/>
        <w:t>of</w:t>
      </w:r>
      <w:r>
        <w:rPr>
          <w:spacing w:val="-8"/>
        </w:rPr>
        <w:t> </w:t>
      </w:r>
      <w:r>
        <w:rPr/>
        <w:t>the</w:t>
      </w:r>
      <w:r>
        <w:rPr>
          <w:spacing w:val="-7"/>
        </w:rPr>
        <w:t> </w:t>
      </w:r>
      <w:r>
        <w:rPr/>
        <w:t>company</w:t>
      </w:r>
      <w:r>
        <w:rPr>
          <w:spacing w:val="-7"/>
        </w:rPr>
        <w:t> </w:t>
      </w:r>
      <w:r>
        <w:rPr/>
        <w:t>car</w:t>
      </w:r>
      <w:r>
        <w:rPr>
          <w:spacing w:val="-9"/>
        </w:rPr>
        <w:t> </w:t>
      </w:r>
      <w:r>
        <w:rPr/>
        <w:t>will</w:t>
      </w:r>
      <w:r>
        <w:rPr>
          <w:spacing w:val="-11"/>
        </w:rPr>
        <w:t> </w:t>
      </w:r>
      <w:r>
        <w:rPr/>
        <w:t>require</w:t>
      </w:r>
      <w:r>
        <w:rPr>
          <w:spacing w:val="-8"/>
        </w:rPr>
        <w:t> </w:t>
      </w:r>
      <w:r>
        <w:rPr/>
        <w:t>log</w:t>
      </w:r>
      <w:r>
        <w:rPr>
          <w:spacing w:val="-9"/>
        </w:rPr>
        <w:t> </w:t>
      </w:r>
      <w:r>
        <w:rPr/>
        <w:t>books</w:t>
      </w:r>
      <w:r>
        <w:rPr>
          <w:spacing w:val="-8"/>
        </w:rPr>
        <w:t> </w:t>
      </w:r>
      <w:r>
        <w:rPr/>
        <w:t>to</w:t>
      </w:r>
      <w:r>
        <w:rPr>
          <w:spacing w:val="-8"/>
        </w:rPr>
        <w:t> </w:t>
      </w:r>
      <w:r>
        <w:rPr/>
        <w:t>be</w:t>
      </w:r>
      <w:r>
        <w:rPr>
          <w:spacing w:val="-7"/>
        </w:rPr>
        <w:t> </w:t>
      </w:r>
      <w:r>
        <w:rPr/>
        <w:t>filled</w:t>
      </w:r>
      <w:r>
        <w:rPr>
          <w:spacing w:val="-9"/>
        </w:rPr>
        <w:t> </w:t>
      </w:r>
      <w:r>
        <w:rPr/>
        <w:t>out</w:t>
      </w:r>
      <w:r>
        <w:rPr>
          <w:spacing w:val="-7"/>
        </w:rPr>
        <w:t> </w:t>
      </w:r>
      <w:r>
        <w:rPr/>
        <w:t>for</w:t>
      </w:r>
      <w:r>
        <w:rPr>
          <w:spacing w:val="-11"/>
        </w:rPr>
        <w:t> </w:t>
      </w:r>
      <w:r>
        <w:rPr/>
        <w:t>each</w:t>
      </w:r>
      <w:r>
        <w:rPr>
          <w:spacing w:val="-11"/>
        </w:rPr>
        <w:t> </w:t>
      </w:r>
      <w:r>
        <w:rPr/>
        <w:t>kilometer</w:t>
      </w:r>
      <w:r>
        <w:rPr>
          <w:spacing w:val="-8"/>
        </w:rPr>
        <w:t> </w:t>
      </w:r>
      <w:r>
        <w:rPr/>
        <w:t>driven,</w:t>
      </w:r>
      <w:r>
        <w:rPr>
          <w:spacing w:val="-8"/>
        </w:rPr>
        <w:t> </w:t>
      </w:r>
      <w:r>
        <w:rPr/>
        <w:t>including</w:t>
      </w:r>
      <w:r>
        <w:rPr>
          <w:spacing w:val="-9"/>
        </w:rPr>
        <w:t> </w:t>
      </w:r>
      <w:r>
        <w:rPr/>
        <w:t>personal usage, beginning as soon as this document is approved. All usage which is deemed to be for personal</w:t>
      </w:r>
      <w:r>
        <w:rPr>
          <w:spacing w:val="-34"/>
        </w:rPr>
        <w:t> </w:t>
      </w:r>
      <w:r>
        <w:rPr/>
        <w:t>use will</w:t>
      </w:r>
      <w:r>
        <w:rPr>
          <w:spacing w:val="-1"/>
        </w:rPr>
        <w:t> </w:t>
      </w:r>
      <w:r>
        <w:rPr/>
        <w:t>accrue FBT at</w:t>
      </w:r>
      <w:r>
        <w:rPr>
          <w:spacing w:val="-1"/>
        </w:rPr>
        <w:t> </w:t>
      </w:r>
      <w:r>
        <w:rPr/>
        <w:t>the</w:t>
      </w:r>
      <w:r>
        <w:rPr>
          <w:spacing w:val="-2"/>
        </w:rPr>
        <w:t> </w:t>
      </w:r>
      <w:r>
        <w:rPr/>
        <w:t>end</w:t>
      </w:r>
      <w:r>
        <w:rPr>
          <w:spacing w:val="-3"/>
        </w:rPr>
        <w:t> </w:t>
      </w:r>
      <w:r>
        <w:rPr/>
        <w:t>of</w:t>
      </w:r>
      <w:r>
        <w:rPr>
          <w:spacing w:val="-3"/>
        </w:rPr>
        <w:t> </w:t>
      </w:r>
      <w:r>
        <w:rPr/>
        <w:t>each FBT</w:t>
      </w:r>
      <w:r>
        <w:rPr>
          <w:spacing w:val="-3"/>
        </w:rPr>
        <w:t> </w:t>
      </w:r>
      <w:r>
        <w:rPr/>
        <w:t>year.</w:t>
      </w:r>
      <w:r>
        <w:rPr>
          <w:spacing w:val="-3"/>
        </w:rPr>
        <w:t> </w:t>
      </w:r>
      <w:r>
        <w:rPr/>
        <w:t>Upon</w:t>
      </w:r>
      <w:r>
        <w:rPr>
          <w:spacing w:val="-5"/>
        </w:rPr>
        <w:t> </w:t>
      </w:r>
      <w:r>
        <w:rPr/>
        <w:t>the</w:t>
      </w:r>
      <w:r>
        <w:rPr>
          <w:spacing w:val="-2"/>
        </w:rPr>
        <w:t> </w:t>
      </w:r>
      <w:r>
        <w:rPr/>
        <w:t>conclusion</w:t>
      </w:r>
      <w:r>
        <w:rPr>
          <w:spacing w:val="-4"/>
        </w:rPr>
        <w:t> </w:t>
      </w:r>
      <w:r>
        <w:rPr/>
        <w:t>of</w:t>
      </w:r>
      <w:r>
        <w:rPr>
          <w:spacing w:val="-3"/>
        </w:rPr>
        <w:t> </w:t>
      </w:r>
      <w:r>
        <w:rPr/>
        <w:t>the</w:t>
      </w:r>
      <w:r>
        <w:rPr>
          <w:spacing w:val="-3"/>
        </w:rPr>
        <w:t> </w:t>
      </w:r>
      <w:r>
        <w:rPr/>
        <w:t>FBT</w:t>
      </w:r>
      <w:r>
        <w:rPr>
          <w:spacing w:val="-2"/>
        </w:rPr>
        <w:t> </w:t>
      </w:r>
      <w:r>
        <w:rPr/>
        <w:t>year</w:t>
      </w:r>
      <w:r>
        <w:rPr>
          <w:spacing w:val="-3"/>
        </w:rPr>
        <w:t> </w:t>
      </w:r>
      <w:r>
        <w:rPr/>
        <w:t>HAFDC will</w:t>
      </w:r>
      <w:r>
        <w:rPr>
          <w:spacing w:val="-4"/>
        </w:rPr>
        <w:t> </w:t>
      </w:r>
      <w:r>
        <w:rPr/>
        <w:t>seek</w:t>
      </w:r>
      <w:r>
        <w:rPr>
          <w:spacing w:val="-2"/>
        </w:rPr>
        <w:t> </w:t>
      </w:r>
      <w:r>
        <w:rPr/>
        <w:t>a</w:t>
      </w:r>
      <w:r>
        <w:rPr>
          <w:spacing w:val="-1"/>
        </w:rPr>
        <w:t> </w:t>
      </w:r>
      <w:r>
        <w:rPr/>
        <w:t>figure for the personal usage of the vehicle and this amount will need to be repaid at an agreed rate between employee and employer. This amount may be deducted from your wage each week in advance based on an average yearly FBT amount or the FBT may be paid in full at the end of each FBT</w:t>
      </w:r>
      <w:r>
        <w:rPr>
          <w:spacing w:val="-18"/>
        </w:rPr>
        <w:t> </w:t>
      </w:r>
      <w:r>
        <w:rPr/>
        <w:t>year.</w:t>
      </w:r>
    </w:p>
    <w:p>
      <w:pPr>
        <w:pStyle w:val="BodyText"/>
        <w:spacing w:before="158"/>
        <w:ind w:left="240"/>
        <w:jc w:val="both"/>
      </w:pPr>
      <w:r>
        <w:rPr/>
        <w:t>If you do not use the car for personal use there will be no need for FBT to be paid.</w:t>
      </w:r>
    </w:p>
    <w:p>
      <w:pPr>
        <w:pStyle w:val="BodyText"/>
        <w:rPr>
          <w:sz w:val="20"/>
        </w:rPr>
      </w:pPr>
    </w:p>
    <w:p>
      <w:pPr>
        <w:pStyle w:val="BodyText"/>
        <w:spacing w:before="10"/>
        <w:rPr>
          <w:sz w:val="28"/>
        </w:rPr>
      </w:pPr>
      <w:r>
        <w:rPr/>
        <w:pict>
          <v:shape style="position:absolute;margin-left:66.143997pt;margin-top:20.051407pt;width:479.85pt;height:17.4pt;mso-position-horizontal-relative:page;mso-position-vertical-relative:paragraph;z-index:-251655168;mso-wrap-distance-left:0;mso-wrap-distance-right:0" type="#_x0000_t202" filled="false" stroked="true" strokeweight=".95996pt" strokecolor="#000000">
            <v:textbox inset="0,0,0,0">
              <w:txbxContent>
                <w:p>
                  <w:pPr>
                    <w:spacing w:before="18"/>
                    <w:ind w:left="108" w:right="0" w:firstLine="0"/>
                    <w:jc w:val="left"/>
                    <w:rPr>
                      <w:b/>
                      <w:sz w:val="22"/>
                    </w:rPr>
                  </w:pPr>
                  <w:r>
                    <w:rPr>
                      <w:b/>
                      <w:sz w:val="22"/>
                    </w:rPr>
                    <w:t>SOURCES/LEGISLATIVE REQUIREMENTS:</w:t>
                  </w:r>
                </w:p>
              </w:txbxContent>
            </v:textbox>
            <v:stroke dashstyle="solid"/>
            <w10:wrap type="topAndBottom"/>
          </v:shape>
        </w:pict>
      </w:r>
    </w:p>
    <w:p>
      <w:pPr>
        <w:pStyle w:val="BodyText"/>
        <w:spacing w:before="1"/>
        <w:rPr>
          <w:sz w:val="6"/>
        </w:rPr>
      </w:pPr>
    </w:p>
    <w:p>
      <w:pPr>
        <w:pStyle w:val="BodyText"/>
        <w:spacing w:before="56"/>
        <w:ind w:left="1532" w:right="1527"/>
        <w:jc w:val="center"/>
      </w:pPr>
      <w:r>
        <w:rPr/>
        <w:t>Australian Taxation Office: </w:t>
      </w:r>
      <w:hyperlink r:id="rId6">
        <w:r>
          <w:rPr>
            <w:color w:val="0462C1"/>
            <w:u w:val="single" w:color="0462C1"/>
          </w:rPr>
          <w:t>www.ato.com.au</w:t>
        </w:r>
      </w:hyperlink>
    </w:p>
    <w:p>
      <w:pPr>
        <w:pStyle w:val="BodyText"/>
        <w:rPr>
          <w:sz w:val="20"/>
        </w:rPr>
      </w:pPr>
    </w:p>
    <w:p>
      <w:pPr>
        <w:pStyle w:val="BodyText"/>
        <w:spacing w:before="9"/>
        <w:rPr>
          <w:sz w:val="28"/>
        </w:rPr>
      </w:pPr>
      <w:r>
        <w:rPr/>
        <w:pict>
          <v:shape style="position:absolute;margin-left:66.143997pt;margin-top:20.023109pt;width:479.85pt;height:17.3pt;mso-position-horizontal-relative:page;mso-position-vertical-relative:paragraph;z-index:-251654144;mso-wrap-distance-left:0;mso-wrap-distance-right:0" type="#_x0000_t202" filled="false" stroked="true" strokeweight=".95996pt" strokecolor="#000000">
            <v:textbox inset="0,0,0,0">
              <w:txbxContent>
                <w:p>
                  <w:pPr>
                    <w:spacing w:before="18"/>
                    <w:ind w:left="108" w:right="0" w:firstLine="0"/>
                    <w:jc w:val="left"/>
                    <w:rPr>
                      <w:b/>
                      <w:sz w:val="22"/>
                    </w:rPr>
                  </w:pPr>
                  <w:r>
                    <w:rPr>
                      <w:b/>
                      <w:sz w:val="22"/>
                    </w:rPr>
                    <w:t>REVIEW PROCESS:</w:t>
                  </w:r>
                </w:p>
              </w:txbxContent>
            </v:textbox>
            <v:stroke dashstyle="solid"/>
            <w10:wrap type="topAndBottom"/>
          </v:shape>
        </w:pict>
      </w:r>
    </w:p>
    <w:p>
      <w:pPr>
        <w:pStyle w:val="BodyText"/>
        <w:rPr>
          <w:sz w:val="20"/>
        </w:rPr>
      </w:pPr>
    </w:p>
    <w:p>
      <w:pPr>
        <w:pStyle w:val="BodyText"/>
        <w:spacing w:before="8" w:after="1"/>
        <w:rPr>
          <w:sz w:val="27"/>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3118"/>
        <w:gridCol w:w="3118"/>
      </w:tblGrid>
      <w:tr>
        <w:trPr>
          <w:trHeight w:val="268" w:hRule="atLeast"/>
        </w:trPr>
        <w:tc>
          <w:tcPr>
            <w:tcW w:w="3116" w:type="dxa"/>
          </w:tcPr>
          <w:p>
            <w:pPr>
              <w:pStyle w:val="TableParagraph"/>
              <w:rPr>
                <w:b/>
                <w:sz w:val="22"/>
              </w:rPr>
            </w:pPr>
            <w:r>
              <w:rPr>
                <w:b/>
                <w:sz w:val="22"/>
              </w:rPr>
              <w:t>Version</w:t>
            </w:r>
          </w:p>
        </w:tc>
        <w:tc>
          <w:tcPr>
            <w:tcW w:w="3118" w:type="dxa"/>
          </w:tcPr>
          <w:p>
            <w:pPr>
              <w:pStyle w:val="TableParagraph"/>
              <w:rPr>
                <w:b/>
                <w:sz w:val="22"/>
              </w:rPr>
            </w:pPr>
            <w:r>
              <w:rPr>
                <w:b/>
                <w:sz w:val="22"/>
              </w:rPr>
              <w:t>Date</w:t>
            </w:r>
          </w:p>
        </w:tc>
        <w:tc>
          <w:tcPr>
            <w:tcW w:w="3118" w:type="dxa"/>
          </w:tcPr>
          <w:p>
            <w:pPr>
              <w:pStyle w:val="TableParagraph"/>
              <w:rPr>
                <w:b/>
                <w:sz w:val="22"/>
              </w:rPr>
            </w:pPr>
            <w:r>
              <w:rPr>
                <w:b/>
                <w:sz w:val="22"/>
              </w:rPr>
              <w:t>Responsible Person</w:t>
            </w:r>
          </w:p>
        </w:tc>
      </w:tr>
      <w:tr>
        <w:trPr>
          <w:trHeight w:val="268" w:hRule="atLeast"/>
        </w:trPr>
        <w:tc>
          <w:tcPr>
            <w:tcW w:w="3116" w:type="dxa"/>
          </w:tcPr>
          <w:p>
            <w:pPr>
              <w:pStyle w:val="TableParagraph"/>
              <w:rPr>
                <w:sz w:val="22"/>
              </w:rPr>
            </w:pPr>
            <w:r>
              <w:rPr>
                <w:w w:val="100"/>
                <w:sz w:val="22"/>
              </w:rPr>
              <w:t>1</w:t>
            </w:r>
          </w:p>
        </w:tc>
        <w:tc>
          <w:tcPr>
            <w:tcW w:w="3118" w:type="dxa"/>
          </w:tcPr>
          <w:p>
            <w:pPr>
              <w:pStyle w:val="TableParagraph"/>
              <w:rPr>
                <w:sz w:val="22"/>
              </w:rPr>
            </w:pPr>
            <w:r>
              <w:rPr>
                <w:sz w:val="22"/>
              </w:rPr>
              <w:t>June 2016</w:t>
            </w:r>
          </w:p>
        </w:tc>
        <w:tc>
          <w:tcPr>
            <w:tcW w:w="3118" w:type="dxa"/>
          </w:tcPr>
          <w:p>
            <w:pPr>
              <w:pStyle w:val="TableParagraph"/>
              <w:rPr>
                <w:sz w:val="22"/>
              </w:rPr>
            </w:pPr>
            <w:r>
              <w:rPr>
                <w:sz w:val="22"/>
              </w:rPr>
              <w:t>Alina Dan/Michelle Florimo</w:t>
            </w:r>
          </w:p>
        </w:tc>
      </w:tr>
    </w:tbl>
    <w:p>
      <w:pPr>
        <w:pStyle w:val="BodyText"/>
        <w:rPr>
          <w:sz w:val="20"/>
        </w:rPr>
      </w:pPr>
    </w:p>
    <w:p>
      <w:pPr>
        <w:pStyle w:val="BodyText"/>
        <w:spacing w:before="11"/>
        <w:rPr>
          <w:sz w:val="16"/>
        </w:rPr>
      </w:pPr>
    </w:p>
    <w:p>
      <w:pPr>
        <w:pStyle w:val="BodyText"/>
        <w:ind w:left="1532" w:right="1532"/>
        <w:jc w:val="center"/>
      </w:pPr>
      <w:r>
        <w:rPr/>
        <w:t>This policy is the intellectual property of Alina Dan Consultancy and HAFDC.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spacing w:before="56"/>
        <w:ind w:left="0" w:right="234" w:firstLine="0"/>
        <w:jc w:val="right"/>
        <w:rPr>
          <w:b/>
          <w:sz w:val="22"/>
        </w:rPr>
      </w:pPr>
      <w:r>
        <w:rPr>
          <w:sz w:val="22"/>
        </w:rPr>
        <w:t>Page </w:t>
      </w:r>
      <w:r>
        <w:rPr>
          <w:b/>
          <w:sz w:val="22"/>
        </w:rPr>
        <w:t>1 </w:t>
      </w:r>
      <w:r>
        <w:rPr>
          <w:sz w:val="22"/>
        </w:rPr>
        <w:t>of </w:t>
      </w:r>
      <w:r>
        <w:rPr>
          <w:b/>
          <w:sz w:val="22"/>
        </w:rPr>
        <w:t>1</w:t>
      </w:r>
    </w:p>
    <w:sectPr>
      <w:type w:val="continuous"/>
      <w:pgSz w:w="12240" w:h="15840"/>
      <w:pgMar w:top="720" w:bottom="280" w:left="1200" w:right="120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rPr>
      <w:rFonts w:ascii="Calibri" w:hAnsi="Calibri" w:eastAsia="Calibri" w:cs="Calibri"/>
      <w:sz w:val="22"/>
      <w:szCs w:val="22"/>
      <w:lang w:val="en-au" w:eastAsia="en-au" w:bidi="en-au"/>
    </w:rPr>
  </w:style>
  <w:style w:styleId="ListParagraph" w:type="paragraph">
    <w:name w:val="List Paragraph"/>
    <w:basedOn w:val="Normal"/>
    <w:uiPriority w:val="1"/>
    <w:qFormat/>
    <w:pPr/>
    <w:rPr>
      <w:lang w:val="en-au" w:eastAsia="en-au" w:bidi="en-au"/>
    </w:rPr>
  </w:style>
  <w:style w:styleId="TableParagraph" w:type="paragraph">
    <w:name w:val="Table Paragraph"/>
    <w:basedOn w:val="Normal"/>
    <w:uiPriority w:val="1"/>
    <w:qFormat/>
    <w:pPr>
      <w:spacing w:line="248" w:lineRule="exact"/>
      <w:ind w:left="107"/>
    </w:pPr>
    <w:rPr>
      <w:rFonts w:ascii="Calibri" w:hAnsi="Calibri" w:eastAsia="Calibri" w:cs="Calibri"/>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at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Holistic Approach FDC</dc:creator>
  <dcterms:created xsi:type="dcterms:W3CDTF">2020-05-25T01:17:48Z</dcterms:created>
  <dcterms:modified xsi:type="dcterms:W3CDTF">2020-05-25T01:17:48Z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Microsoft® Word 2016</vt:lpwstr>
  </property>
  <property fmtid="{D5CDD505-2E9C-101B-9397-08002B2CF9AE}" pid="4" name="LastSaved">
    <vt:filetime>2020-05-25T00:00:00Z</vt:filetime>
  </property>
</Properties>
</file>